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Date of Report:</w:t>
      </w:r>
      <w:r w:rsidDel="00000000" w:rsidR="00000000" w:rsidRPr="00000000">
        <w:rPr>
          <w:rtl w:val="0"/>
        </w:rPr>
        <w:t xml:space="preserve"> 10th Quarterly Report - April 1, 2025</w:t>
      </w:r>
    </w:p>
    <w:p w:rsidR="00000000" w:rsidDel="00000000" w:rsidP="00000000" w:rsidRDefault="00000000" w:rsidRPr="00000000" w14:paraId="00000005">
      <w:pPr>
        <w:rPr/>
      </w:pPr>
      <w:r w:rsidDel="00000000" w:rsidR="00000000" w:rsidRPr="00000000">
        <w:rPr>
          <w:b w:val="1"/>
          <w:rtl w:val="0"/>
        </w:rPr>
        <w:t xml:space="preserve">Contract Number:</w:t>
      </w:r>
      <w:r w:rsidDel="00000000" w:rsidR="00000000" w:rsidRPr="00000000">
        <w:rPr>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rPr>
          <w:i w:val="1"/>
        </w:rPr>
      </w:pPr>
      <w:r w:rsidDel="00000000" w:rsidR="00000000" w:rsidRPr="00000000">
        <w:rPr>
          <w:b w:val="1"/>
          <w:rtl w:val="0"/>
        </w:rPr>
        <w:t xml:space="preserve">Prepared for:</w:t>
      </w:r>
      <w:r w:rsidDel="00000000" w:rsidR="00000000" w:rsidRPr="00000000">
        <w:rPr>
          <w:rtl w:val="0"/>
        </w:rPr>
        <w:t xml:space="preserve"> </w:t>
      </w:r>
      <w:r w:rsidDel="00000000" w:rsidR="00000000" w:rsidRPr="00000000">
        <w:rPr>
          <w:i w:val="1"/>
          <w:rtl w:val="0"/>
        </w:rPr>
        <w:t xml:space="preserve">DOT-PHMSA</w:t>
      </w:r>
    </w:p>
    <w:p w:rsidR="00000000" w:rsidDel="00000000" w:rsidP="00000000" w:rsidRDefault="00000000" w:rsidRPr="00000000" w14:paraId="00000007">
      <w:pPr>
        <w:rPr/>
      </w:pPr>
      <w:r w:rsidDel="00000000" w:rsidR="00000000" w:rsidRPr="00000000">
        <w:rPr>
          <w:b w:val="1"/>
          <w:rtl w:val="0"/>
        </w:rPr>
        <w:t xml:space="preserve">Project Title:</w:t>
      </w:r>
      <w:r w:rsidDel="00000000" w:rsidR="00000000" w:rsidRPr="00000000">
        <w:rPr>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Prepared by:</w:t>
      </w:r>
      <w:r w:rsidDel="00000000" w:rsidR="00000000" w:rsidRPr="00000000">
        <w:rPr>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t xml:space="preserve"> </w:t>
      </w:r>
      <w:r w:rsidDel="00000000" w:rsidR="00000000" w:rsidRPr="00000000">
        <w:rPr>
          <w:i w:val="1"/>
          <w:rtl w:val="0"/>
        </w:rPr>
        <w:t xml:space="preserve"> 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321-720-3568</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For quarterly period ending:</w:t>
      </w:r>
      <w:r w:rsidDel="00000000" w:rsidR="00000000" w:rsidRPr="00000000">
        <w:rPr>
          <w:rtl w:val="0"/>
        </w:rPr>
        <w:t xml:space="preserve">  </w:t>
      </w:r>
      <w:r w:rsidDel="00000000" w:rsidR="00000000" w:rsidRPr="00000000">
        <w:rPr>
          <w:i w:val="1"/>
          <w:rtl w:val="0"/>
        </w:rPr>
        <w:t xml:space="preserve">March 31, 2025</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in the various sections below. </w:t>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rtl w:val="0"/>
        </w:rPr>
      </w:r>
    </w:p>
    <w:tbl>
      <w:tblPr>
        <w:tblStyle w:val="Table1"/>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75.0000000000005"/>
        <w:gridCol w:w="3155"/>
        <w:tblGridChange w:id="0">
          <w:tblGrid>
            <w:gridCol w:w="675"/>
            <w:gridCol w:w="705"/>
            <w:gridCol w:w="3175.0000000000005"/>
            <w:gridCol w:w="3155"/>
          </w:tblGrid>
        </w:tblGridChange>
      </w:tblGrid>
      <w:tr>
        <w:trPr>
          <w:cantSplit w:val="0"/>
          <w:trHeight w:val="300" w:hRule="atLeast"/>
          <w:tblHeader w:val="0"/>
        </w:trPr>
        <w:tc>
          <w:tcPr>
            <w:vAlign w:val="top"/>
          </w:tcPr>
          <w:p w:rsidR="00000000" w:rsidDel="00000000" w:rsidP="00000000" w:rsidRDefault="00000000" w:rsidRPr="00000000" w14:paraId="00000010">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4">
            <w:pPr>
              <w:rPr/>
            </w:pPr>
            <w:r w:rsidDel="00000000" w:rsidR="00000000" w:rsidRPr="00000000">
              <w:rPr>
                <w:rtl w:val="0"/>
              </w:rPr>
              <w:t xml:space="preserve">-</w:t>
            </w:r>
          </w:p>
        </w:tc>
        <w:tc>
          <w:tcPr>
            <w:vAlign w:val="top"/>
          </w:tcPr>
          <w:p w:rsidR="00000000" w:rsidDel="00000000" w:rsidP="00000000" w:rsidRDefault="00000000" w:rsidRPr="00000000" w14:paraId="00000015">
            <w:pPr>
              <w:rPr/>
            </w:pPr>
            <w:r w:rsidDel="00000000" w:rsidR="00000000" w:rsidRPr="00000000">
              <w:rPr>
                <w:rtl w:val="0"/>
              </w:rPr>
              <w:t xml:space="preserve">0.1</w:t>
            </w:r>
          </w:p>
        </w:tc>
        <w:tc>
          <w:tcPr>
            <w:vAlign w:val="top"/>
          </w:tcPr>
          <w:p w:rsidR="00000000" w:rsidDel="00000000" w:rsidP="00000000" w:rsidRDefault="00000000" w:rsidRPr="00000000" w14:paraId="00000016">
            <w:pPr>
              <w:rPr/>
            </w:pPr>
            <w:r w:rsidDel="00000000" w:rsidR="00000000" w:rsidRPr="00000000">
              <w:rPr>
                <w:rtl w:val="0"/>
              </w:rPr>
              <w:t xml:space="preserve">10th Quarterly Status Report</w:t>
            </w:r>
          </w:p>
        </w:tc>
        <w:tc>
          <w:tcPr>
            <w:vAlign w:val="top"/>
          </w:tcPr>
          <w:p w:rsidR="00000000" w:rsidDel="00000000" w:rsidP="00000000" w:rsidRDefault="00000000" w:rsidRPr="00000000" w14:paraId="00000017">
            <w:pPr>
              <w:rPr/>
            </w:pPr>
            <w:r w:rsidDel="00000000" w:rsidR="00000000" w:rsidRPr="00000000">
              <w:rPr>
                <w:rtl w:val="0"/>
              </w:rPr>
              <w:t xml:space="preserve">Submit 10th quarterly report</w:t>
            </w:r>
          </w:p>
        </w:tc>
      </w:tr>
    </w:tbl>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sdt>
      <w:sdtPr>
        <w:lock w:val="contentLocked"/>
        <w:tag w:val="goog_rdk_0"/>
      </w:sdtPr>
      <w:sdtContent>
        <w:tbl>
          <w:tblPr>
            <w:tblStyle w:val="Table2"/>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95"/>
            <w:gridCol w:w="3135"/>
            <w:tblGridChange w:id="0">
              <w:tblGrid>
                <w:gridCol w:w="675"/>
                <w:gridCol w:w="705"/>
                <w:gridCol w:w="3195"/>
                <w:gridCol w:w="3135"/>
              </w:tblGrid>
            </w:tblGridChange>
          </w:tblGrid>
          <w:tr>
            <w:trPr>
              <w:cantSplit w:val="0"/>
              <w:trHeight w:val="300" w:hRule="atLeast"/>
              <w:tblHeader w:val="0"/>
            </w:trPr>
            <w:tc>
              <w:tcPr>
                <w:vAlign w:val="top"/>
              </w:tcPr>
              <w:p w:rsidR="00000000" w:rsidDel="00000000" w:rsidP="00000000" w:rsidRDefault="00000000" w:rsidRPr="00000000" w14:paraId="0000001C">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D">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E">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F">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20">
                <w:pPr>
                  <w:rPr/>
                </w:pPr>
                <w:r w:rsidDel="00000000" w:rsidR="00000000" w:rsidRPr="00000000">
                  <w:rPr>
                    <w:rtl w:val="0"/>
                  </w:rPr>
                  <w:t xml:space="preserve">26</w:t>
                </w:r>
              </w:p>
            </w:tc>
            <w:tc>
              <w:tcPr>
                <w:vAlign w:val="top"/>
              </w:tcPr>
              <w:p w:rsidR="00000000" w:rsidDel="00000000" w:rsidP="00000000" w:rsidRDefault="00000000" w:rsidRPr="00000000" w14:paraId="00000021">
                <w:pPr>
                  <w:rPr/>
                </w:pPr>
                <w:r w:rsidDel="00000000" w:rsidR="00000000" w:rsidRPr="00000000">
                  <w:rPr>
                    <w:rtl w:val="0"/>
                  </w:rPr>
                  <w:t xml:space="preserve">8.1</w:t>
                </w:r>
              </w:p>
            </w:tc>
            <w:tc>
              <w:tcPr>
                <w:vAlign w:val="top"/>
              </w:tcPr>
              <w:p w:rsidR="00000000" w:rsidDel="00000000" w:rsidP="00000000" w:rsidRDefault="00000000" w:rsidRPr="00000000" w14:paraId="00000022">
                <w:pPr>
                  <w:rPr/>
                </w:pPr>
                <w:r w:rsidDel="00000000" w:rsidR="00000000" w:rsidRPr="00000000">
                  <w:rPr>
                    <w:rtl w:val="0"/>
                  </w:rPr>
                  <w:t xml:space="preserve">Backtesting</w:t>
                </w:r>
              </w:p>
            </w:tc>
            <w:tc>
              <w:tcPr>
                <w:vAlign w:val="top"/>
              </w:tcPr>
              <w:p w:rsidR="00000000" w:rsidDel="00000000" w:rsidP="00000000" w:rsidRDefault="00000000" w:rsidRPr="00000000" w14:paraId="00000023">
                <w:pPr>
                  <w:rPr/>
                </w:pPr>
                <w:r w:rsidDel="00000000" w:rsidR="00000000" w:rsidRPr="00000000">
                  <w:rPr>
                    <w:rtl w:val="0"/>
                  </w:rPr>
                  <w:t xml:space="preserve">Backtesting of tool with TAP operators</w:t>
                </w:r>
              </w:p>
            </w:tc>
          </w:tr>
          <w:tr>
            <w:trPr>
              <w:cantSplit w:val="0"/>
              <w:trHeight w:val="300" w:hRule="atLeast"/>
              <w:tblHeader w:val="0"/>
            </w:trPr>
            <w:tc>
              <w:tcPr>
                <w:vAlign w:val="top"/>
              </w:tcPr>
              <w:p w:rsidR="00000000" w:rsidDel="00000000" w:rsidP="00000000" w:rsidRDefault="00000000" w:rsidRPr="00000000" w14:paraId="00000024">
                <w:pPr>
                  <w:rPr/>
                </w:pPr>
                <w:r w:rsidDel="00000000" w:rsidR="00000000" w:rsidRPr="00000000">
                  <w:rPr>
                    <w:rtl w:val="0"/>
                  </w:rPr>
                  <w:t xml:space="preserve">28</w:t>
                </w:r>
              </w:p>
            </w:tc>
            <w:tc>
              <w:tcPr>
                <w:vAlign w:val="top"/>
              </w:tcPr>
              <w:p w:rsidR="00000000" w:rsidDel="00000000" w:rsidP="00000000" w:rsidRDefault="00000000" w:rsidRPr="00000000" w14:paraId="00000025">
                <w:pPr>
                  <w:rPr/>
                </w:pPr>
                <w:r w:rsidDel="00000000" w:rsidR="00000000" w:rsidRPr="00000000">
                  <w:rPr>
                    <w:rtl w:val="0"/>
                  </w:rPr>
                  <w:t xml:space="preserve">8.1</w:t>
                </w:r>
              </w:p>
            </w:tc>
            <w:tc>
              <w:tcPr>
                <w:vAlign w:val="top"/>
              </w:tcPr>
              <w:p w:rsidR="00000000" w:rsidDel="00000000" w:rsidP="00000000" w:rsidRDefault="00000000" w:rsidRPr="00000000" w14:paraId="00000026">
                <w:pPr>
                  <w:rPr/>
                </w:pPr>
                <w:r w:rsidDel="00000000" w:rsidR="00000000" w:rsidRPr="00000000">
                  <w:rPr>
                    <w:rtl w:val="0"/>
                  </w:rPr>
                  <w:t xml:space="preserve">Backtesting</w:t>
                </w:r>
              </w:p>
            </w:tc>
            <w:tc>
              <w:tcPr>
                <w:vAlign w:val="top"/>
              </w:tcPr>
              <w:p w:rsidR="00000000" w:rsidDel="00000000" w:rsidP="00000000" w:rsidRDefault="00000000" w:rsidRPr="00000000" w14:paraId="00000027">
                <w:pPr>
                  <w:rPr/>
                </w:pPr>
                <w:r w:rsidDel="00000000" w:rsidR="00000000" w:rsidRPr="00000000">
                  <w:rPr>
                    <w:rtl w:val="0"/>
                  </w:rPr>
                  <w:t xml:space="preserve">Backtesting of tool with TAP operators</w:t>
                </w:r>
              </w:p>
            </w:tc>
          </w:tr>
        </w:tbl>
      </w:sdtContent>
    </w:sdt>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pPr>
      <w:r w:rsidDel="00000000" w:rsidR="00000000" w:rsidRPr="00000000">
        <w:rPr/>
        <w:drawing>
          <wp:inline distB="114300" distT="114300" distL="114300" distR="114300">
            <wp:extent cx="5486400" cy="5003800"/>
            <wp:effectExtent b="0" l="0" r="0" t="0"/>
            <wp:docPr descr="Chart" id="7"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b w:val="1"/>
          <w:sz w:val="22"/>
          <w:szCs w:val="22"/>
        </w:rPr>
      </w:pPr>
      <w:r w:rsidDel="00000000" w:rsidR="00000000" w:rsidRPr="00000000">
        <w:rPr>
          <w:b w:val="1"/>
          <w:sz w:val="22"/>
          <w:szCs w:val="22"/>
          <w:rtl w:val="0"/>
        </w:rPr>
        <w:t xml:space="preserve">Item# 26 / Task# 8.1/ Integration / Backtesting of tool with TAP operators</w:t>
      </w:r>
    </w:p>
    <w:p w:rsidR="00000000" w:rsidDel="00000000" w:rsidP="00000000" w:rsidRDefault="00000000" w:rsidRPr="00000000" w14:paraId="00000030">
      <w:pPr>
        <w:rPr>
          <w:b w:val="1"/>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sz w:val="22"/>
          <w:szCs w:val="22"/>
          <w:rtl w:val="0"/>
        </w:rPr>
        <w:t xml:space="preserve">Work with the operators is progressing, however we are still waiting on data files from Operator #1 along with other key information. The source of the delay there has (we believe) primarily been the bandwidth of our POC. We hope to get back on track with him here in the coming weeks. Progressions of efforts with Operator #2 were delayed slightly a couple weeks back as we wait for their latest LiDAR data. We just received that new LiDAR data the other day and are now in the process of post-processing it for use with their survey. We anticipate that sometime in April we will have an initial tool run complete and will have shared the initial results with Operator #2. </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b w:val="1"/>
          <w:sz w:val="22"/>
          <w:szCs w:val="22"/>
        </w:rPr>
      </w:pPr>
      <w:r w:rsidDel="00000000" w:rsidR="00000000" w:rsidRPr="00000000">
        <w:rPr>
          <w:b w:val="1"/>
          <w:sz w:val="22"/>
          <w:szCs w:val="22"/>
          <w:rtl w:val="0"/>
        </w:rPr>
        <w:t xml:space="preserve">Item# 28 / Task# 8.1/ Integration / Backtesting of tool with TAP operators</w:t>
      </w:r>
    </w:p>
    <w:p w:rsidR="00000000" w:rsidDel="00000000" w:rsidP="00000000" w:rsidRDefault="00000000" w:rsidRPr="00000000" w14:paraId="00000034">
      <w:pPr>
        <w:rPr>
          <w:b w:val="1"/>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Please refer to our comments in the Item 26 section above.</w:t>
      </w:r>
    </w:p>
    <w:p w:rsidR="00000000" w:rsidDel="00000000" w:rsidP="00000000" w:rsidRDefault="00000000" w:rsidRPr="00000000" w14:paraId="00000036">
      <w:pPr>
        <w:rPr>
          <w:b w:val="1"/>
          <w:sz w:val="22"/>
          <w:szCs w:val="22"/>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b w:val="1"/>
          <w:sz w:val="22"/>
          <w:szCs w:val="22"/>
          <w:rtl w:val="0"/>
        </w:rPr>
        <w:t xml:space="preserve">Item# – / Task# 0.1/ 9th Quarterly Status Report / Submit 9th quarterly report</w:t>
      </w:r>
    </w:p>
    <w:p w:rsidR="00000000" w:rsidDel="00000000" w:rsidP="00000000" w:rsidRDefault="00000000" w:rsidRPr="00000000" w14:paraId="00000038">
      <w:pPr>
        <w:rPr>
          <w:b w:val="1"/>
          <w:sz w:val="22"/>
          <w:szCs w:val="22"/>
        </w:rPr>
      </w:pPr>
      <w:r w:rsidDel="00000000" w:rsidR="00000000" w:rsidRPr="00000000">
        <w:rPr>
          <w:rtl w:val="0"/>
        </w:rPr>
      </w:r>
    </w:p>
    <w:p w:rsidR="00000000" w:rsidDel="00000000" w:rsidP="00000000" w:rsidRDefault="00000000" w:rsidRPr="00000000" w14:paraId="00000039">
      <w:pPr>
        <w:rPr>
          <w:b w:val="1"/>
          <w:sz w:val="22"/>
          <w:szCs w:val="22"/>
        </w:rPr>
      </w:pPr>
      <w:r w:rsidDel="00000000" w:rsidR="00000000" w:rsidRPr="00000000">
        <w:rPr>
          <w:sz w:val="22"/>
          <w:szCs w:val="22"/>
          <w:rtl w:val="0"/>
        </w:rPr>
        <w:t xml:space="preserve">Additional detail not necessary - this report constitutes the deliverable for Item# – / Task# 0.1.</w:t>
      </w:r>
      <w:r w:rsidDel="00000000" w:rsidR="00000000" w:rsidRPr="00000000">
        <w:rPr>
          <w:rtl w:val="0"/>
        </w:rPr>
      </w:r>
    </w:p>
    <w:p w:rsidR="00000000" w:rsidDel="00000000" w:rsidP="00000000" w:rsidRDefault="00000000" w:rsidRPr="00000000" w14:paraId="0000003A">
      <w:pPr>
        <w:rPr>
          <w:b w:val="1"/>
          <w:sz w:val="22"/>
          <w:szCs w:val="22"/>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Overall our project is slightly behind schedule. The backtesting with the first two operators is taking longer than expected due to the time it is taking to coordinate and conduct data and technical interchanges with the operators. We should have enough time to finish the backtesting with our two primary operators prior to the end of July.</w:t>
      </w:r>
    </w:p>
    <w:p w:rsidR="00000000" w:rsidDel="00000000" w:rsidP="00000000" w:rsidRDefault="00000000" w:rsidRPr="00000000" w14:paraId="0000003E">
      <w:pPr>
        <w:rPr>
          <w:sz w:val="22"/>
          <w:szCs w:val="22"/>
        </w:rPr>
      </w:pPr>
      <w:r w:rsidDel="00000000" w:rsidR="00000000" w:rsidRPr="00000000">
        <w:rPr>
          <w:rtl w:val="0"/>
        </w:rPr>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GhliRhn/Dxvrb82g09OjB6YHZg==">CgMxLjAaHwoBMBIaChgICVIUChJ0YWJsZS40NXE2YXVlZmtxbjk4AHIhMTdWZmxZOUxnb21ncGNRMnRkV2hvS0QyMW9tN1NZVy01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